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4" w:rsidRPr="00346278" w:rsidRDefault="0096799E" w:rsidP="007C33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Hacia las e</w:t>
      </w:r>
      <w:r w:rsidR="004365C3">
        <w:rPr>
          <w:b/>
          <w:sz w:val="40"/>
          <w:szCs w:val="40"/>
        </w:rPr>
        <w:t xml:space="preserve">lecciones </w:t>
      </w:r>
      <w:r>
        <w:rPr>
          <w:b/>
          <w:sz w:val="40"/>
          <w:szCs w:val="40"/>
        </w:rPr>
        <w:t xml:space="preserve">del </w:t>
      </w:r>
      <w:bookmarkStart w:id="0" w:name="_GoBack"/>
      <w:bookmarkEnd w:id="0"/>
      <w:r w:rsidR="004365C3">
        <w:rPr>
          <w:b/>
          <w:sz w:val="40"/>
          <w:szCs w:val="40"/>
        </w:rPr>
        <w:t>2019</w:t>
      </w:r>
    </w:p>
    <w:p w:rsidR="007C33C2" w:rsidRPr="009B75E8" w:rsidRDefault="007C33C2" w:rsidP="007C33C2">
      <w:pPr>
        <w:jc w:val="center"/>
        <w:rPr>
          <w:b/>
          <w:sz w:val="28"/>
          <w:szCs w:val="28"/>
        </w:rPr>
      </w:pPr>
    </w:p>
    <w:p w:rsidR="006D0B21" w:rsidRDefault="00F6286E" w:rsidP="00346278">
      <w:pPr>
        <w:ind w:firstLine="708"/>
        <w:rPr>
          <w:sz w:val="24"/>
          <w:szCs w:val="24"/>
        </w:rPr>
      </w:pPr>
      <w:r>
        <w:rPr>
          <w:sz w:val="24"/>
          <w:szCs w:val="24"/>
        </w:rPr>
        <w:t>A partir de la recuperación de la democracia, luego de la dictadura cívico</w:t>
      </w:r>
      <w:r w:rsidR="006D0B21">
        <w:rPr>
          <w:sz w:val="24"/>
          <w:szCs w:val="24"/>
        </w:rPr>
        <w:t>-</w:t>
      </w:r>
      <w:r>
        <w:rPr>
          <w:sz w:val="24"/>
          <w:szCs w:val="24"/>
        </w:rPr>
        <w:t>militar del ’76, e</w:t>
      </w:r>
      <w:r w:rsidR="00B32B6B">
        <w:rPr>
          <w:sz w:val="24"/>
          <w:szCs w:val="24"/>
        </w:rPr>
        <w:t>l peronismo</w:t>
      </w:r>
      <w:r w:rsidR="000D6790">
        <w:rPr>
          <w:sz w:val="24"/>
          <w:szCs w:val="24"/>
        </w:rPr>
        <w:t xml:space="preserve"> (con los frentes que hegemonizó)</w:t>
      </w:r>
      <w:r w:rsidR="007C33C2" w:rsidRPr="009B75E8">
        <w:rPr>
          <w:sz w:val="24"/>
          <w:szCs w:val="24"/>
        </w:rPr>
        <w:t xml:space="preserve"> </w:t>
      </w:r>
      <w:r w:rsidR="006D0B21">
        <w:rPr>
          <w:sz w:val="24"/>
          <w:szCs w:val="24"/>
        </w:rPr>
        <w:t>tuvo los siguientes desempeños</w:t>
      </w:r>
      <w:r w:rsidR="00346278">
        <w:rPr>
          <w:sz w:val="24"/>
          <w:szCs w:val="24"/>
        </w:rPr>
        <w:t xml:space="preserve"> mostrados en la Tabla I</w:t>
      </w:r>
    </w:p>
    <w:p w:rsidR="00EA12B2" w:rsidRPr="00346278" w:rsidRDefault="00346278" w:rsidP="00EA1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Tabla 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215"/>
        <w:gridCol w:w="1671"/>
      </w:tblGrid>
      <w:tr w:rsidR="00EA12B2" w:rsidTr="00EA12B2">
        <w:trPr>
          <w:jc w:val="center"/>
        </w:trPr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Porcentaje (%)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sz w:val="24"/>
                <w:szCs w:val="24"/>
                <w:highlight w:val="yellow"/>
              </w:rPr>
            </w:pPr>
            <w:r w:rsidRPr="00EA12B2">
              <w:rPr>
                <w:sz w:val="24"/>
                <w:szCs w:val="24"/>
                <w:highlight w:val="yellow"/>
              </w:rPr>
              <w:t>Perdió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sz w:val="24"/>
                <w:szCs w:val="24"/>
                <w:highlight w:val="yellow"/>
              </w:rPr>
            </w:pPr>
            <w:r w:rsidRPr="00EA12B2">
              <w:rPr>
                <w:sz w:val="24"/>
                <w:szCs w:val="24"/>
                <w:highlight w:val="yellow"/>
              </w:rPr>
              <w:t>40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Ganó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Ganó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 w:rsidRPr="009C3AA4">
              <w:rPr>
                <w:sz w:val="24"/>
                <w:szCs w:val="24"/>
              </w:rPr>
              <w:t>50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sz w:val="24"/>
                <w:szCs w:val="24"/>
                <w:highlight w:val="yellow"/>
              </w:rPr>
            </w:pPr>
            <w:r w:rsidRPr="00EA12B2">
              <w:rPr>
                <w:sz w:val="24"/>
                <w:szCs w:val="24"/>
                <w:highlight w:val="yellow"/>
              </w:rPr>
              <w:t>Perdió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sz w:val="24"/>
                <w:szCs w:val="24"/>
                <w:highlight w:val="yellow"/>
              </w:rPr>
            </w:pPr>
            <w:r w:rsidRPr="00EA12B2">
              <w:rPr>
                <w:sz w:val="24"/>
                <w:szCs w:val="24"/>
                <w:highlight w:val="yellow"/>
              </w:rPr>
              <w:t>38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Ganó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Ganó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Ganó</w:t>
            </w:r>
          </w:p>
        </w:tc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 w:rsidRPr="009C3AA4">
              <w:rPr>
                <w:sz w:val="24"/>
                <w:szCs w:val="24"/>
              </w:rPr>
              <w:t>54</w:t>
            </w:r>
          </w:p>
        </w:tc>
      </w:tr>
      <w:tr w:rsidR="00EA12B2" w:rsidTr="00EA12B2">
        <w:trPr>
          <w:jc w:val="center"/>
        </w:trPr>
        <w:tc>
          <w:tcPr>
            <w:tcW w:w="0" w:type="auto"/>
          </w:tcPr>
          <w:p w:rsidR="00EA12B2" w:rsidRDefault="00EA12B2" w:rsidP="006D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A12B2" w:rsidRPr="00EA12B2" w:rsidRDefault="00A27917" w:rsidP="006D0B2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1ª vuelta</w:t>
            </w:r>
          </w:p>
        </w:tc>
        <w:tc>
          <w:tcPr>
            <w:tcW w:w="0" w:type="auto"/>
          </w:tcPr>
          <w:p w:rsidR="00EA12B2" w:rsidRPr="00EA12B2" w:rsidRDefault="00EA12B2" w:rsidP="006D0B21">
            <w:pPr>
              <w:jc w:val="center"/>
              <w:rPr>
                <w:sz w:val="24"/>
                <w:szCs w:val="24"/>
                <w:highlight w:val="yellow"/>
              </w:rPr>
            </w:pPr>
            <w:r w:rsidRPr="00EA12B2">
              <w:rPr>
                <w:sz w:val="24"/>
                <w:szCs w:val="24"/>
                <w:highlight w:val="yellow"/>
              </w:rPr>
              <w:t>37</w:t>
            </w:r>
          </w:p>
        </w:tc>
      </w:tr>
    </w:tbl>
    <w:p w:rsidR="006D0B21" w:rsidRDefault="006D0B21" w:rsidP="006D0B21">
      <w:pPr>
        <w:jc w:val="center"/>
        <w:rPr>
          <w:sz w:val="24"/>
          <w:szCs w:val="24"/>
        </w:rPr>
      </w:pPr>
    </w:p>
    <w:p w:rsidR="006D0B21" w:rsidRDefault="006D0B21" w:rsidP="007C33C2">
      <w:pPr>
        <w:rPr>
          <w:sz w:val="24"/>
          <w:szCs w:val="24"/>
        </w:rPr>
      </w:pPr>
    </w:p>
    <w:p w:rsidR="00244C33" w:rsidRPr="009B75E8" w:rsidRDefault="007C33C2" w:rsidP="007C33C2">
      <w:pPr>
        <w:rPr>
          <w:sz w:val="24"/>
          <w:szCs w:val="24"/>
        </w:rPr>
      </w:pPr>
      <w:r w:rsidRPr="009B75E8">
        <w:rPr>
          <w:sz w:val="24"/>
          <w:szCs w:val="24"/>
        </w:rPr>
        <w:t>Los años 1995 y 2011 fueron situaciones extraordinarias</w:t>
      </w:r>
      <w:r w:rsidR="00AA73C8" w:rsidRPr="009B75E8">
        <w:rPr>
          <w:sz w:val="24"/>
          <w:szCs w:val="24"/>
        </w:rPr>
        <w:t xml:space="preserve"> </w:t>
      </w:r>
      <w:r w:rsidR="00EA12B2">
        <w:rPr>
          <w:sz w:val="24"/>
          <w:szCs w:val="24"/>
        </w:rPr>
        <w:t>que provocaron migraciones de v</w:t>
      </w:r>
      <w:r w:rsidRPr="009B75E8">
        <w:rPr>
          <w:sz w:val="24"/>
          <w:szCs w:val="24"/>
        </w:rPr>
        <w:t>otos de</w:t>
      </w:r>
      <w:r w:rsidR="00AA73C8" w:rsidRPr="009B75E8">
        <w:rPr>
          <w:sz w:val="24"/>
          <w:szCs w:val="24"/>
        </w:rPr>
        <w:t>sde</w:t>
      </w:r>
      <w:r w:rsidRPr="009B75E8">
        <w:rPr>
          <w:sz w:val="24"/>
          <w:szCs w:val="24"/>
        </w:rPr>
        <w:t xml:space="preserve"> otros partidos y sectores sociales por diferentes motivos</w:t>
      </w:r>
      <w:r w:rsidR="0001292D" w:rsidRPr="009B75E8">
        <w:rPr>
          <w:sz w:val="24"/>
          <w:szCs w:val="24"/>
        </w:rPr>
        <w:t xml:space="preserve">: en el 1995 provinieron de </w:t>
      </w:r>
      <w:r w:rsidRPr="009B75E8">
        <w:rPr>
          <w:sz w:val="24"/>
          <w:szCs w:val="24"/>
        </w:rPr>
        <w:t xml:space="preserve"> la UCD que se disolvió y en el 2011 de sectores que nunca habían votado al </w:t>
      </w:r>
      <w:r w:rsidR="00B32B6B">
        <w:rPr>
          <w:sz w:val="24"/>
          <w:szCs w:val="24"/>
        </w:rPr>
        <w:t>peronismo</w:t>
      </w:r>
      <w:r w:rsidR="008170A8">
        <w:rPr>
          <w:sz w:val="24"/>
          <w:szCs w:val="24"/>
        </w:rPr>
        <w:t>, pero</w:t>
      </w:r>
      <w:r w:rsidRPr="009B75E8">
        <w:rPr>
          <w:sz w:val="24"/>
          <w:szCs w:val="24"/>
        </w:rPr>
        <w:t xml:space="preserve"> que se entusiasmaron por las medidas </w:t>
      </w:r>
      <w:r w:rsidR="00421135">
        <w:rPr>
          <w:sz w:val="24"/>
          <w:szCs w:val="24"/>
        </w:rPr>
        <w:t xml:space="preserve">económicas </w:t>
      </w:r>
      <w:r w:rsidRPr="009B75E8">
        <w:rPr>
          <w:sz w:val="24"/>
          <w:szCs w:val="24"/>
        </w:rPr>
        <w:t xml:space="preserve">que el Gobierno había efectuado desde 2009 </w:t>
      </w:r>
      <w:r w:rsidR="00244C33" w:rsidRPr="009B75E8">
        <w:rPr>
          <w:sz w:val="24"/>
          <w:szCs w:val="24"/>
        </w:rPr>
        <w:t>y, quizás, también conmovidos por la firmeza y estoicismo que había mostrado la Presidente ante la muerte de su esposo.</w:t>
      </w:r>
    </w:p>
    <w:p w:rsidR="00244C33" w:rsidRDefault="00244C33" w:rsidP="007C33C2">
      <w:pPr>
        <w:rPr>
          <w:sz w:val="24"/>
          <w:szCs w:val="24"/>
        </w:rPr>
      </w:pPr>
      <w:r w:rsidRPr="009B75E8">
        <w:rPr>
          <w:sz w:val="24"/>
          <w:szCs w:val="24"/>
        </w:rPr>
        <w:tab/>
        <w:t xml:space="preserve">Si se realiza un promedio de los votos obtenidos durante sus derrotas </w:t>
      </w:r>
      <w:r w:rsidR="00356ED7">
        <w:rPr>
          <w:sz w:val="24"/>
          <w:szCs w:val="24"/>
        </w:rPr>
        <w:t xml:space="preserve">(incluyendo la primera vuelta del 2015) </w:t>
      </w:r>
      <w:r w:rsidRPr="009B75E8">
        <w:rPr>
          <w:sz w:val="24"/>
          <w:szCs w:val="24"/>
        </w:rPr>
        <w:t>y v</w:t>
      </w:r>
      <w:r w:rsidR="003F6BFB" w:rsidRPr="009B75E8">
        <w:rPr>
          <w:sz w:val="24"/>
          <w:szCs w:val="24"/>
        </w:rPr>
        <w:t>ictorias, exceptuando entre estos último</w:t>
      </w:r>
      <w:r w:rsidRPr="009B75E8">
        <w:rPr>
          <w:sz w:val="24"/>
          <w:szCs w:val="24"/>
        </w:rPr>
        <w:t xml:space="preserve">s a </w:t>
      </w:r>
      <w:r w:rsidR="003F6BFB" w:rsidRPr="009B75E8">
        <w:rPr>
          <w:sz w:val="24"/>
          <w:szCs w:val="24"/>
        </w:rPr>
        <w:t xml:space="preserve">los correspondientes a </w:t>
      </w:r>
      <w:r w:rsidRPr="009B75E8">
        <w:rPr>
          <w:sz w:val="24"/>
          <w:szCs w:val="24"/>
        </w:rPr>
        <w:t xml:space="preserve">los años 1995 y 2011, se obtiene 38% y 46%, respectivamente. </w:t>
      </w:r>
    </w:p>
    <w:p w:rsidR="008067C9" w:rsidRDefault="00346278" w:rsidP="00244C3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44C33" w:rsidRPr="009B75E8">
        <w:rPr>
          <w:sz w:val="24"/>
          <w:szCs w:val="24"/>
        </w:rPr>
        <w:t>Esta pé</w:t>
      </w:r>
      <w:r w:rsidR="003F6BFB" w:rsidRPr="009B75E8">
        <w:rPr>
          <w:sz w:val="24"/>
          <w:szCs w:val="24"/>
        </w:rPr>
        <w:t>r</w:t>
      </w:r>
      <w:r w:rsidR="00244C33" w:rsidRPr="009B75E8">
        <w:rPr>
          <w:sz w:val="24"/>
          <w:szCs w:val="24"/>
        </w:rPr>
        <w:t xml:space="preserve">dida del </w:t>
      </w:r>
      <w:r w:rsidR="007A7763" w:rsidRPr="009B75E8">
        <w:rPr>
          <w:sz w:val="24"/>
          <w:szCs w:val="24"/>
        </w:rPr>
        <w:t xml:space="preserve">8% </w:t>
      </w:r>
      <w:r w:rsidR="000855B9">
        <w:rPr>
          <w:sz w:val="24"/>
          <w:szCs w:val="24"/>
        </w:rPr>
        <w:t xml:space="preserve">es el </w:t>
      </w:r>
      <w:r w:rsidR="000855B9" w:rsidRPr="00D93AC7">
        <w:rPr>
          <w:b/>
          <w:sz w:val="24"/>
          <w:szCs w:val="24"/>
        </w:rPr>
        <w:t>voto migratorio</w:t>
      </w:r>
      <w:r w:rsidR="000855B9">
        <w:rPr>
          <w:sz w:val="24"/>
          <w:szCs w:val="24"/>
        </w:rPr>
        <w:t xml:space="preserve"> que le ha dado el triunfo a Alfonsín en el ’83,</w:t>
      </w:r>
      <w:r w:rsidR="00D93AC7">
        <w:rPr>
          <w:sz w:val="24"/>
          <w:szCs w:val="24"/>
        </w:rPr>
        <w:t xml:space="preserve"> a De l</w:t>
      </w:r>
      <w:r w:rsidR="000855B9">
        <w:rPr>
          <w:sz w:val="24"/>
          <w:szCs w:val="24"/>
        </w:rPr>
        <w:t xml:space="preserve">a Rúa en el ’99 y </w:t>
      </w:r>
      <w:r w:rsidR="00A27917">
        <w:rPr>
          <w:sz w:val="24"/>
          <w:szCs w:val="24"/>
        </w:rPr>
        <w:t xml:space="preserve">le ha permitido </w:t>
      </w:r>
      <w:r w:rsidR="000855B9">
        <w:rPr>
          <w:sz w:val="24"/>
          <w:szCs w:val="24"/>
        </w:rPr>
        <w:t>a Macri</w:t>
      </w:r>
      <w:r w:rsidR="00A27917">
        <w:rPr>
          <w:sz w:val="24"/>
          <w:szCs w:val="24"/>
        </w:rPr>
        <w:t xml:space="preserve"> ganar en 2ª vuelta, ya que, si ese 8% hubiera votado al FPV</w:t>
      </w:r>
      <w:r w:rsidR="00740794">
        <w:rPr>
          <w:sz w:val="24"/>
          <w:szCs w:val="24"/>
        </w:rPr>
        <w:t xml:space="preserve"> </w:t>
      </w:r>
      <w:r w:rsidR="00563DA8">
        <w:rPr>
          <w:sz w:val="24"/>
          <w:szCs w:val="24"/>
        </w:rPr>
        <w:t xml:space="preserve">en 1ª vuelta, </w:t>
      </w:r>
      <w:r w:rsidR="00740794">
        <w:rPr>
          <w:sz w:val="24"/>
          <w:szCs w:val="24"/>
        </w:rPr>
        <w:t>se</w:t>
      </w:r>
      <w:r w:rsidR="00A27917">
        <w:rPr>
          <w:sz w:val="24"/>
          <w:szCs w:val="24"/>
        </w:rPr>
        <w:t xml:space="preserve"> habría llegado al 45%, lo qu</w:t>
      </w:r>
      <w:r w:rsidR="00563DA8">
        <w:rPr>
          <w:sz w:val="24"/>
          <w:szCs w:val="24"/>
        </w:rPr>
        <w:t>e habría alcanzado para ganar sin</w:t>
      </w:r>
      <w:r w:rsidR="00A27917">
        <w:rPr>
          <w:sz w:val="24"/>
          <w:szCs w:val="24"/>
        </w:rPr>
        <w:t xml:space="preserve"> </w:t>
      </w:r>
      <w:r w:rsidR="00563DA8">
        <w:rPr>
          <w:sz w:val="24"/>
          <w:szCs w:val="24"/>
        </w:rPr>
        <w:t>2</w:t>
      </w:r>
      <w:r w:rsidR="00A27917">
        <w:rPr>
          <w:sz w:val="24"/>
          <w:szCs w:val="24"/>
        </w:rPr>
        <w:t>ª</w:t>
      </w:r>
      <w:r w:rsidR="008067C9">
        <w:rPr>
          <w:sz w:val="24"/>
          <w:szCs w:val="24"/>
        </w:rPr>
        <w:t xml:space="preserve"> vuelta</w:t>
      </w:r>
      <w:r w:rsidR="00A27917">
        <w:rPr>
          <w:sz w:val="24"/>
          <w:szCs w:val="24"/>
        </w:rPr>
        <w:t xml:space="preserve">. </w:t>
      </w:r>
    </w:p>
    <w:p w:rsidR="008170A8" w:rsidRDefault="00A27917" w:rsidP="008067C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Los sectores sociales que conforman el </w:t>
      </w:r>
      <w:r w:rsidRPr="00A27917">
        <w:rPr>
          <w:b/>
          <w:sz w:val="24"/>
          <w:szCs w:val="24"/>
        </w:rPr>
        <w:t>voto migratorio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0855B9" w:rsidRPr="00A27917">
        <w:rPr>
          <w:sz w:val="24"/>
          <w:szCs w:val="24"/>
        </w:rPr>
        <w:t>o</w:t>
      </w:r>
      <w:r w:rsidR="000855B9">
        <w:rPr>
          <w:sz w:val="24"/>
          <w:szCs w:val="24"/>
        </w:rPr>
        <w:t xml:space="preserve"> tiene</w:t>
      </w:r>
      <w:r>
        <w:rPr>
          <w:sz w:val="24"/>
          <w:szCs w:val="24"/>
        </w:rPr>
        <w:t>n</w:t>
      </w:r>
      <w:r w:rsidR="000855B9">
        <w:rPr>
          <w:sz w:val="24"/>
          <w:szCs w:val="24"/>
        </w:rPr>
        <w:t xml:space="preserve"> compromisos afectivos o ideológicos con ningún partido y su comportamiento electoral responde, fundamentalmente, a</w:t>
      </w:r>
      <w:r w:rsidR="00740794">
        <w:rPr>
          <w:sz w:val="24"/>
          <w:szCs w:val="24"/>
        </w:rPr>
        <w:t>l deterioro o mejora de sus ingresos</w:t>
      </w:r>
      <w:r>
        <w:rPr>
          <w:sz w:val="24"/>
          <w:szCs w:val="24"/>
        </w:rPr>
        <w:t xml:space="preserve">. En el 2015, </w:t>
      </w:r>
      <w:r w:rsidR="00740794">
        <w:rPr>
          <w:sz w:val="24"/>
          <w:szCs w:val="24"/>
        </w:rPr>
        <w:t>este deterioro</w:t>
      </w:r>
      <w:r>
        <w:rPr>
          <w:sz w:val="24"/>
          <w:szCs w:val="24"/>
        </w:rPr>
        <w:t xml:space="preserve"> </w:t>
      </w:r>
      <w:r w:rsidR="000855B9">
        <w:rPr>
          <w:sz w:val="24"/>
          <w:szCs w:val="24"/>
        </w:rPr>
        <w:t>s</w:t>
      </w:r>
      <w:r w:rsidR="007A7763" w:rsidRPr="009B75E8">
        <w:rPr>
          <w:sz w:val="24"/>
          <w:szCs w:val="24"/>
        </w:rPr>
        <w:t>e habría</w:t>
      </w:r>
      <w:r>
        <w:rPr>
          <w:sz w:val="24"/>
          <w:szCs w:val="24"/>
        </w:rPr>
        <w:t xml:space="preserve"> generado</w:t>
      </w:r>
      <w:r w:rsidR="00244C33" w:rsidRPr="009B75E8">
        <w:rPr>
          <w:sz w:val="24"/>
          <w:szCs w:val="24"/>
        </w:rPr>
        <w:t xml:space="preserve"> por </w:t>
      </w:r>
      <w:r w:rsidR="00D12B5F" w:rsidRPr="009B75E8">
        <w:rPr>
          <w:sz w:val="24"/>
          <w:szCs w:val="24"/>
        </w:rPr>
        <w:t>las siguientes causas</w:t>
      </w:r>
      <w:r w:rsidR="00BA14E1">
        <w:rPr>
          <w:sz w:val="24"/>
          <w:szCs w:val="24"/>
        </w:rPr>
        <w:t xml:space="preserve"> principales</w:t>
      </w:r>
      <w:r w:rsidR="00D12B5F" w:rsidRPr="009B75E8">
        <w:rPr>
          <w:sz w:val="24"/>
          <w:szCs w:val="24"/>
        </w:rPr>
        <w:t xml:space="preserve">: </w:t>
      </w:r>
    </w:p>
    <w:p w:rsidR="008170A8" w:rsidRDefault="00D12B5F" w:rsidP="00244C33">
      <w:pPr>
        <w:rPr>
          <w:sz w:val="24"/>
          <w:szCs w:val="24"/>
        </w:rPr>
      </w:pPr>
      <w:r w:rsidRPr="009B75E8">
        <w:rPr>
          <w:sz w:val="24"/>
          <w:szCs w:val="24"/>
        </w:rPr>
        <w:t xml:space="preserve">1) </w:t>
      </w:r>
      <w:r w:rsidR="00654A32" w:rsidRPr="008170A8">
        <w:rPr>
          <w:b/>
          <w:sz w:val="24"/>
          <w:szCs w:val="24"/>
        </w:rPr>
        <w:t xml:space="preserve">la </w:t>
      </w:r>
      <w:r w:rsidR="00244C33" w:rsidRPr="008170A8">
        <w:rPr>
          <w:b/>
          <w:sz w:val="24"/>
          <w:szCs w:val="24"/>
        </w:rPr>
        <w:t>inflación</w:t>
      </w:r>
      <w:r w:rsidR="002126E9" w:rsidRPr="009B75E8">
        <w:rPr>
          <w:sz w:val="24"/>
          <w:szCs w:val="24"/>
        </w:rPr>
        <w:t xml:space="preserve"> (para aquello</w:t>
      </w:r>
      <w:r w:rsidR="00F6286E">
        <w:rPr>
          <w:sz w:val="24"/>
          <w:szCs w:val="24"/>
        </w:rPr>
        <w:t>s que tienen trabajos</w:t>
      </w:r>
      <w:r w:rsidR="00356ED7">
        <w:rPr>
          <w:sz w:val="24"/>
          <w:szCs w:val="24"/>
        </w:rPr>
        <w:t xml:space="preserve"> </w:t>
      </w:r>
      <w:r w:rsidR="00F6286E">
        <w:rPr>
          <w:sz w:val="24"/>
          <w:szCs w:val="24"/>
        </w:rPr>
        <w:t>“en negro” o son cuentapropistas</w:t>
      </w:r>
      <w:r w:rsidR="002126E9" w:rsidRPr="009B75E8">
        <w:rPr>
          <w:sz w:val="24"/>
          <w:szCs w:val="24"/>
        </w:rPr>
        <w:t xml:space="preserve"> no existen paritarias que compensen la pérdida del poder adquisitivo), </w:t>
      </w:r>
    </w:p>
    <w:p w:rsidR="008170A8" w:rsidRDefault="009E52ED" w:rsidP="00244C3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12B5F" w:rsidRPr="009B75E8">
        <w:rPr>
          <w:sz w:val="24"/>
          <w:szCs w:val="24"/>
        </w:rPr>
        <w:t>)</w:t>
      </w:r>
      <w:r w:rsidR="008170A8">
        <w:rPr>
          <w:sz w:val="24"/>
          <w:szCs w:val="24"/>
        </w:rPr>
        <w:t xml:space="preserve"> </w:t>
      </w:r>
      <w:r w:rsidR="002126E9" w:rsidRPr="008170A8">
        <w:rPr>
          <w:b/>
          <w:sz w:val="24"/>
          <w:szCs w:val="24"/>
        </w:rPr>
        <w:t>“</w:t>
      </w:r>
      <w:r w:rsidR="00244C33" w:rsidRPr="008170A8">
        <w:rPr>
          <w:b/>
          <w:sz w:val="24"/>
          <w:szCs w:val="24"/>
        </w:rPr>
        <w:t>impuesto al salario</w:t>
      </w:r>
      <w:r w:rsidR="002126E9" w:rsidRPr="008170A8">
        <w:rPr>
          <w:b/>
          <w:sz w:val="24"/>
          <w:szCs w:val="24"/>
        </w:rPr>
        <w:t>”</w:t>
      </w:r>
      <w:r w:rsidR="002126E9" w:rsidRPr="009B75E8">
        <w:rPr>
          <w:sz w:val="24"/>
          <w:szCs w:val="24"/>
        </w:rPr>
        <w:t xml:space="preserve"> (con un mínimo no imponible demasiado bajo y una escala de retenciones claramente injusta)</w:t>
      </w:r>
      <w:r w:rsidR="00244C33" w:rsidRPr="009B75E8">
        <w:rPr>
          <w:sz w:val="24"/>
          <w:szCs w:val="24"/>
        </w:rPr>
        <w:t xml:space="preserve">. </w:t>
      </w:r>
    </w:p>
    <w:p w:rsidR="00964F0B" w:rsidRDefault="00964F0B" w:rsidP="00244C33">
      <w:pPr>
        <w:rPr>
          <w:sz w:val="24"/>
          <w:szCs w:val="24"/>
        </w:rPr>
      </w:pPr>
      <w:r>
        <w:rPr>
          <w:sz w:val="24"/>
          <w:szCs w:val="24"/>
        </w:rPr>
        <w:tab/>
        <w:t>Hay unos números que merecen</w:t>
      </w:r>
      <w:r w:rsidR="001830F0">
        <w:rPr>
          <w:sz w:val="24"/>
          <w:szCs w:val="24"/>
        </w:rPr>
        <w:t xml:space="preserve"> la pena resaltarse</w:t>
      </w:r>
      <w:r>
        <w:rPr>
          <w:sz w:val="24"/>
          <w:szCs w:val="24"/>
        </w:rPr>
        <w:t xml:space="preserve">. </w:t>
      </w:r>
      <w:r w:rsidR="00BA14E1">
        <w:rPr>
          <w:sz w:val="24"/>
          <w:szCs w:val="24"/>
        </w:rPr>
        <w:t xml:space="preserve">Los asalariados suman, aproximadamente, </w:t>
      </w:r>
      <w:r w:rsidR="001830F0">
        <w:rPr>
          <w:sz w:val="24"/>
          <w:szCs w:val="24"/>
        </w:rPr>
        <w:t>12.000.000.</w:t>
      </w:r>
      <w:r w:rsidR="00DF1722">
        <w:rPr>
          <w:sz w:val="24"/>
          <w:szCs w:val="24"/>
        </w:rPr>
        <w:t xml:space="preserve"> Sólo hay un 60% en blanco, 7.200.000. S</w:t>
      </w:r>
      <w:r>
        <w:rPr>
          <w:sz w:val="24"/>
          <w:szCs w:val="24"/>
        </w:rPr>
        <w:t>e decía que sólo el 10% de los trabajadores era afectado por el “impuesto al salario”</w:t>
      </w:r>
      <w:r w:rsidR="00DF1722">
        <w:rPr>
          <w:sz w:val="24"/>
          <w:szCs w:val="24"/>
        </w:rPr>
        <w:t>, o sea, 72</w:t>
      </w:r>
      <w:r>
        <w:rPr>
          <w:sz w:val="24"/>
          <w:szCs w:val="24"/>
        </w:rPr>
        <w:t xml:space="preserve">0.000. </w:t>
      </w:r>
      <w:r w:rsidR="00DF1722">
        <w:rPr>
          <w:sz w:val="24"/>
          <w:szCs w:val="24"/>
        </w:rPr>
        <w:t xml:space="preserve">La diferencia entre Macri y Scioli en 2ª vuelta fue de 678.774 votos. </w:t>
      </w:r>
      <w:r>
        <w:rPr>
          <w:sz w:val="24"/>
          <w:szCs w:val="24"/>
        </w:rPr>
        <w:t xml:space="preserve">Lo anterior podría indicar, sin llegar a ser concluyente, que existió una </w:t>
      </w:r>
      <w:r w:rsidR="00DF1722">
        <w:rPr>
          <w:sz w:val="24"/>
          <w:szCs w:val="24"/>
        </w:rPr>
        <w:t xml:space="preserve">gran </w:t>
      </w:r>
      <w:r>
        <w:rPr>
          <w:sz w:val="24"/>
          <w:szCs w:val="24"/>
        </w:rPr>
        <w:t xml:space="preserve">mayoría de los </w:t>
      </w:r>
      <w:r w:rsidR="00743300">
        <w:rPr>
          <w:sz w:val="24"/>
          <w:szCs w:val="24"/>
        </w:rPr>
        <w:t>trabajadores afectados que estaban muy enojados con Cr</w:t>
      </w:r>
      <w:r w:rsidR="00DF1722">
        <w:rPr>
          <w:sz w:val="24"/>
          <w:szCs w:val="24"/>
        </w:rPr>
        <w:t>istina y prefirió votar a Macri (camioneros</w:t>
      </w:r>
      <w:r w:rsidR="00BA14E1">
        <w:rPr>
          <w:sz w:val="24"/>
          <w:szCs w:val="24"/>
        </w:rPr>
        <w:t>, trabajadores de automotrices y petroleras</w:t>
      </w:r>
      <w:r w:rsidR="00DF1722">
        <w:rPr>
          <w:sz w:val="24"/>
          <w:szCs w:val="24"/>
        </w:rPr>
        <w:t>, docentes, etc.)</w:t>
      </w:r>
    </w:p>
    <w:p w:rsidR="00244C33" w:rsidRPr="009B75E8" w:rsidRDefault="00244C33" w:rsidP="008170A8">
      <w:pPr>
        <w:ind w:firstLine="708"/>
        <w:rPr>
          <w:b/>
          <w:sz w:val="24"/>
          <w:szCs w:val="24"/>
        </w:rPr>
      </w:pPr>
      <w:r w:rsidRPr="009B75E8">
        <w:rPr>
          <w:b/>
          <w:sz w:val="24"/>
          <w:szCs w:val="24"/>
        </w:rPr>
        <w:t xml:space="preserve">La presión mediática habría actuado sobre esta base material para aumentar el descontento de ese porcentaje, aunque, de ninguna manera, podría caracterizarse como determinante, </w:t>
      </w:r>
      <w:r w:rsidR="002126E9" w:rsidRPr="009B75E8">
        <w:rPr>
          <w:b/>
          <w:sz w:val="24"/>
          <w:szCs w:val="24"/>
        </w:rPr>
        <w:t xml:space="preserve">dado que </w:t>
      </w:r>
      <w:r w:rsidRPr="009B75E8">
        <w:rPr>
          <w:b/>
          <w:sz w:val="24"/>
          <w:szCs w:val="24"/>
        </w:rPr>
        <w:t>en el 2011</w:t>
      </w:r>
      <w:r w:rsidR="00AA73C8" w:rsidRPr="009B75E8">
        <w:rPr>
          <w:b/>
          <w:sz w:val="24"/>
          <w:szCs w:val="24"/>
        </w:rPr>
        <w:t>, cuando la situación económica era claramente mejor</w:t>
      </w:r>
      <w:r w:rsidR="002126E9" w:rsidRPr="009B75E8">
        <w:rPr>
          <w:b/>
          <w:sz w:val="24"/>
          <w:szCs w:val="24"/>
        </w:rPr>
        <w:t>, la igualmente persistente prédica de los medios dominantes fracasó.</w:t>
      </w:r>
    </w:p>
    <w:p w:rsidR="0034355E" w:rsidRDefault="00E87CB6" w:rsidP="009B75E8">
      <w:pPr>
        <w:rPr>
          <w:sz w:val="24"/>
          <w:szCs w:val="24"/>
        </w:rPr>
      </w:pPr>
      <w:r w:rsidRPr="009B75E8">
        <w:rPr>
          <w:b/>
          <w:sz w:val="24"/>
          <w:szCs w:val="24"/>
        </w:rPr>
        <w:lastRenderedPageBreak/>
        <w:tab/>
      </w:r>
      <w:r w:rsidR="00244C33" w:rsidRPr="009B75E8">
        <w:rPr>
          <w:sz w:val="24"/>
          <w:szCs w:val="24"/>
        </w:rPr>
        <w:t>Es evidente que, para ganar nuevamente las elecciones</w:t>
      </w:r>
      <w:r w:rsidR="00712405">
        <w:rPr>
          <w:sz w:val="24"/>
          <w:szCs w:val="24"/>
        </w:rPr>
        <w:t xml:space="preserve"> en 2019</w:t>
      </w:r>
      <w:r w:rsidR="00244C33" w:rsidRPr="009B75E8">
        <w:rPr>
          <w:sz w:val="24"/>
          <w:szCs w:val="24"/>
        </w:rPr>
        <w:t xml:space="preserve">, el </w:t>
      </w:r>
      <w:r w:rsidR="00712405">
        <w:rPr>
          <w:sz w:val="24"/>
          <w:szCs w:val="24"/>
        </w:rPr>
        <w:t>peronismo</w:t>
      </w:r>
      <w:r w:rsidR="00244C33" w:rsidRPr="009B75E8">
        <w:rPr>
          <w:sz w:val="24"/>
          <w:szCs w:val="24"/>
        </w:rPr>
        <w:t xml:space="preserve"> debe</w:t>
      </w:r>
      <w:r w:rsidR="00DF1722">
        <w:rPr>
          <w:sz w:val="24"/>
          <w:szCs w:val="24"/>
        </w:rPr>
        <w:t>rá</w:t>
      </w:r>
      <w:r w:rsidR="00244C33" w:rsidRPr="009B75E8">
        <w:rPr>
          <w:sz w:val="24"/>
          <w:szCs w:val="24"/>
        </w:rPr>
        <w:t xml:space="preserve"> fortalecer su condición frentista con propuestas económicas concretas que </w:t>
      </w:r>
      <w:r w:rsidR="00563DA8">
        <w:rPr>
          <w:sz w:val="24"/>
          <w:szCs w:val="24"/>
        </w:rPr>
        <w:t xml:space="preserve">interpelen a ese 8% migratorio y </w:t>
      </w:r>
      <w:r w:rsidR="00DF1722">
        <w:rPr>
          <w:sz w:val="24"/>
          <w:szCs w:val="24"/>
        </w:rPr>
        <w:t xml:space="preserve">pueda verificarse </w:t>
      </w:r>
      <w:r w:rsidR="00563DA8">
        <w:rPr>
          <w:sz w:val="24"/>
          <w:szCs w:val="24"/>
        </w:rPr>
        <w:t xml:space="preserve">que se ha ganado nuevamente su confianza. No basta con resaltar todo lo bueno que se ha hecho y mencionar en forma abstracta que se cometieron errores. </w:t>
      </w:r>
      <w:r w:rsidR="00563DA8" w:rsidRPr="00DF1722">
        <w:rPr>
          <w:b/>
          <w:sz w:val="24"/>
          <w:szCs w:val="24"/>
        </w:rPr>
        <w:t xml:space="preserve">Esa conducta </w:t>
      </w:r>
      <w:r w:rsidR="00246062" w:rsidRPr="00DF1722">
        <w:rPr>
          <w:b/>
          <w:sz w:val="24"/>
          <w:szCs w:val="24"/>
        </w:rPr>
        <w:t xml:space="preserve">lleva </w:t>
      </w:r>
      <w:r w:rsidR="00563DA8" w:rsidRPr="00DF1722">
        <w:rPr>
          <w:b/>
          <w:sz w:val="24"/>
          <w:szCs w:val="24"/>
        </w:rPr>
        <w:t>implícita el convencimiento equivocado de que se perdió por la influencia de los medios</w:t>
      </w:r>
      <w:r w:rsidR="00246062" w:rsidRPr="00DF1722">
        <w:rPr>
          <w:b/>
          <w:sz w:val="24"/>
          <w:szCs w:val="24"/>
        </w:rPr>
        <w:t xml:space="preserve"> solamente</w:t>
      </w:r>
      <w:r w:rsidR="00C364D7" w:rsidRPr="00DF1722">
        <w:rPr>
          <w:b/>
          <w:sz w:val="24"/>
          <w:szCs w:val="24"/>
        </w:rPr>
        <w:t xml:space="preserve">, </w:t>
      </w:r>
      <w:r w:rsidR="0034355E" w:rsidRPr="00DF1722">
        <w:rPr>
          <w:b/>
          <w:sz w:val="24"/>
          <w:szCs w:val="24"/>
        </w:rPr>
        <w:t>sin tener en cuenta el deterioro económico</w:t>
      </w:r>
      <w:r w:rsidR="000331AB">
        <w:rPr>
          <w:sz w:val="24"/>
          <w:szCs w:val="24"/>
        </w:rPr>
        <w:t>.</w:t>
      </w:r>
      <w:r w:rsidR="0034355E">
        <w:rPr>
          <w:sz w:val="24"/>
          <w:szCs w:val="24"/>
        </w:rPr>
        <w:t xml:space="preserve"> Hay que decir concretamente cómo se bajará la inflación y cómo se reemplazará el “impuesto </w:t>
      </w:r>
      <w:r w:rsidR="001830F0">
        <w:rPr>
          <w:sz w:val="24"/>
          <w:szCs w:val="24"/>
        </w:rPr>
        <w:t xml:space="preserve">al salario” por </w:t>
      </w:r>
      <w:r w:rsidR="001830F0" w:rsidRPr="00BA14E1">
        <w:rPr>
          <w:b/>
          <w:sz w:val="24"/>
          <w:szCs w:val="24"/>
        </w:rPr>
        <w:t>impuestos</w:t>
      </w:r>
      <w:r w:rsidR="004365C3" w:rsidRPr="00BA14E1">
        <w:rPr>
          <w:b/>
          <w:sz w:val="24"/>
          <w:szCs w:val="24"/>
        </w:rPr>
        <w:t xml:space="preserve"> a los sectores exportadores y financieros</w:t>
      </w:r>
      <w:r w:rsidR="001830F0">
        <w:rPr>
          <w:sz w:val="24"/>
          <w:szCs w:val="24"/>
        </w:rPr>
        <w:t>.</w:t>
      </w:r>
    </w:p>
    <w:p w:rsidR="00631ECB" w:rsidRDefault="0034355E" w:rsidP="0034355E">
      <w:pPr>
        <w:ind w:firstLine="708"/>
        <w:rPr>
          <w:sz w:val="24"/>
          <w:szCs w:val="24"/>
        </w:rPr>
      </w:pPr>
      <w:r>
        <w:rPr>
          <w:sz w:val="24"/>
          <w:szCs w:val="24"/>
        </w:rPr>
        <w:t>No alcanzará</w:t>
      </w:r>
      <w:r w:rsidR="001159A4">
        <w:rPr>
          <w:sz w:val="24"/>
          <w:szCs w:val="24"/>
        </w:rPr>
        <w:t xml:space="preserve"> con invocaciones a la solidaridad y</w:t>
      </w:r>
      <w:r w:rsidR="00740794">
        <w:rPr>
          <w:sz w:val="24"/>
          <w:szCs w:val="24"/>
        </w:rPr>
        <w:t xml:space="preserve"> a</w:t>
      </w:r>
      <w:r w:rsidR="001159A4">
        <w:rPr>
          <w:sz w:val="24"/>
          <w:szCs w:val="24"/>
        </w:rPr>
        <w:t xml:space="preserve"> la “lucha cul</w:t>
      </w:r>
      <w:r w:rsidR="00F43704">
        <w:rPr>
          <w:sz w:val="24"/>
          <w:szCs w:val="24"/>
        </w:rPr>
        <w:t>tural” contra la prédica individ</w:t>
      </w:r>
      <w:r w:rsidR="001159A4">
        <w:rPr>
          <w:sz w:val="24"/>
          <w:szCs w:val="24"/>
        </w:rPr>
        <w:t>ualista y extranjerizante del neoliberalismo</w:t>
      </w:r>
      <w:r w:rsidR="005249AE">
        <w:rPr>
          <w:sz w:val="24"/>
          <w:szCs w:val="24"/>
        </w:rPr>
        <w:t xml:space="preserve">, porque el voto migratorio responde a razones económicas. </w:t>
      </w:r>
      <w:r w:rsidR="005249AE" w:rsidRPr="008067C9">
        <w:rPr>
          <w:b/>
          <w:sz w:val="24"/>
          <w:szCs w:val="24"/>
        </w:rPr>
        <w:t>Dicho de una manera más vulgar: vota con el bolsillo, no con la mente o el corazón.</w:t>
      </w:r>
    </w:p>
    <w:sectPr w:rsidR="00631ECB" w:rsidSect="00B32B6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C2"/>
    <w:rsid w:val="0001292D"/>
    <w:rsid w:val="00013015"/>
    <w:rsid w:val="000331AB"/>
    <w:rsid w:val="000855B9"/>
    <w:rsid w:val="000953E0"/>
    <w:rsid w:val="000D6790"/>
    <w:rsid w:val="001159A4"/>
    <w:rsid w:val="001345F2"/>
    <w:rsid w:val="00146792"/>
    <w:rsid w:val="00176A21"/>
    <w:rsid w:val="001830F0"/>
    <w:rsid w:val="001B6E23"/>
    <w:rsid w:val="002126E9"/>
    <w:rsid w:val="0023146E"/>
    <w:rsid w:val="00244C33"/>
    <w:rsid w:val="00246062"/>
    <w:rsid w:val="002B4CF8"/>
    <w:rsid w:val="00313C7B"/>
    <w:rsid w:val="0034355E"/>
    <w:rsid w:val="00346278"/>
    <w:rsid w:val="00356ED7"/>
    <w:rsid w:val="0038163B"/>
    <w:rsid w:val="003F6BFB"/>
    <w:rsid w:val="00400810"/>
    <w:rsid w:val="00421135"/>
    <w:rsid w:val="004365C3"/>
    <w:rsid w:val="00456E84"/>
    <w:rsid w:val="00487501"/>
    <w:rsid w:val="005249AE"/>
    <w:rsid w:val="005504CA"/>
    <w:rsid w:val="00563DA8"/>
    <w:rsid w:val="00591560"/>
    <w:rsid w:val="005A1E2C"/>
    <w:rsid w:val="00631ECB"/>
    <w:rsid w:val="00654A32"/>
    <w:rsid w:val="006A18A7"/>
    <w:rsid w:val="006B4216"/>
    <w:rsid w:val="006C4B73"/>
    <w:rsid w:val="006D0B21"/>
    <w:rsid w:val="00712405"/>
    <w:rsid w:val="007272DA"/>
    <w:rsid w:val="00735721"/>
    <w:rsid w:val="00740794"/>
    <w:rsid w:val="00743300"/>
    <w:rsid w:val="007A7763"/>
    <w:rsid w:val="007C33C2"/>
    <w:rsid w:val="008067C9"/>
    <w:rsid w:val="008170A8"/>
    <w:rsid w:val="00964F0B"/>
    <w:rsid w:val="0096799E"/>
    <w:rsid w:val="009B75E8"/>
    <w:rsid w:val="009C3AA4"/>
    <w:rsid w:val="009E52ED"/>
    <w:rsid w:val="00A27917"/>
    <w:rsid w:val="00AA73C8"/>
    <w:rsid w:val="00B013EF"/>
    <w:rsid w:val="00B32B6B"/>
    <w:rsid w:val="00B41BD3"/>
    <w:rsid w:val="00B73DC0"/>
    <w:rsid w:val="00B77E03"/>
    <w:rsid w:val="00BA14E1"/>
    <w:rsid w:val="00BD2B89"/>
    <w:rsid w:val="00C1486A"/>
    <w:rsid w:val="00C3487C"/>
    <w:rsid w:val="00C364D7"/>
    <w:rsid w:val="00C431A8"/>
    <w:rsid w:val="00C721E9"/>
    <w:rsid w:val="00CE5176"/>
    <w:rsid w:val="00D12B5F"/>
    <w:rsid w:val="00D74967"/>
    <w:rsid w:val="00D92A50"/>
    <w:rsid w:val="00D93AC7"/>
    <w:rsid w:val="00DF1722"/>
    <w:rsid w:val="00DF5FB5"/>
    <w:rsid w:val="00E23484"/>
    <w:rsid w:val="00E87CB6"/>
    <w:rsid w:val="00EA12B2"/>
    <w:rsid w:val="00EC2583"/>
    <w:rsid w:val="00EF6401"/>
    <w:rsid w:val="00F37D39"/>
    <w:rsid w:val="00F43704"/>
    <w:rsid w:val="00F54C6A"/>
    <w:rsid w:val="00F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7B70-7087-4086-89CC-EC179B37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Usuario de Windows</cp:lastModifiedBy>
  <cp:revision>12</cp:revision>
  <cp:lastPrinted>2018-10-12T13:36:00Z</cp:lastPrinted>
  <dcterms:created xsi:type="dcterms:W3CDTF">2018-10-10T12:32:00Z</dcterms:created>
  <dcterms:modified xsi:type="dcterms:W3CDTF">2019-12-19T15:26:00Z</dcterms:modified>
</cp:coreProperties>
</file>