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59" w:rsidRPr="00FD0859" w:rsidRDefault="00FD0859" w:rsidP="00FD0859">
      <w:pPr>
        <w:spacing w:after="0" w:line="240" w:lineRule="auto"/>
        <w:jc w:val="center"/>
        <w:rPr>
          <w:b/>
          <w:sz w:val="32"/>
          <w:szCs w:val="32"/>
        </w:rPr>
      </w:pPr>
      <w:r w:rsidRPr="00FD0859">
        <w:rPr>
          <w:b/>
          <w:sz w:val="32"/>
          <w:szCs w:val="32"/>
        </w:rPr>
        <w:t>Ingr</w:t>
      </w:r>
      <w:bookmarkStart w:id="0" w:name="_GoBack"/>
      <w:bookmarkEnd w:id="0"/>
      <w:r w:rsidRPr="00FD0859">
        <w:rPr>
          <w:b/>
          <w:sz w:val="32"/>
          <w:szCs w:val="32"/>
        </w:rPr>
        <w:t>esos del Estado</w:t>
      </w:r>
    </w:p>
    <w:p w:rsidR="00FD0859" w:rsidRDefault="00FD0859" w:rsidP="00317ABB">
      <w:pPr>
        <w:spacing w:after="0" w:line="240" w:lineRule="auto"/>
        <w:jc w:val="both"/>
        <w:rPr>
          <w:b/>
          <w:sz w:val="28"/>
          <w:szCs w:val="28"/>
        </w:rPr>
      </w:pPr>
    </w:p>
    <w:p w:rsidR="00937948" w:rsidRPr="00F86881" w:rsidRDefault="00937948" w:rsidP="00317ABB">
      <w:pPr>
        <w:spacing w:after="0" w:line="240" w:lineRule="auto"/>
        <w:jc w:val="both"/>
        <w:rPr>
          <w:sz w:val="24"/>
          <w:szCs w:val="24"/>
        </w:rPr>
      </w:pPr>
      <w:r w:rsidRPr="00F86881">
        <w:rPr>
          <w:sz w:val="24"/>
          <w:szCs w:val="24"/>
        </w:rPr>
        <w:t xml:space="preserve">Para ser coherentes </w:t>
      </w:r>
      <w:r w:rsidR="009E29CD">
        <w:rPr>
          <w:sz w:val="24"/>
          <w:szCs w:val="24"/>
        </w:rPr>
        <w:t>con su formación profesional, la</w:t>
      </w:r>
      <w:r w:rsidRPr="00F86881">
        <w:rPr>
          <w:sz w:val="24"/>
          <w:szCs w:val="24"/>
        </w:rPr>
        <w:t xml:space="preserve">s </w:t>
      </w:r>
      <w:r w:rsidR="009E29CD">
        <w:rPr>
          <w:sz w:val="24"/>
          <w:szCs w:val="24"/>
        </w:rPr>
        <w:t xml:space="preserve">y los </w:t>
      </w:r>
      <w:r w:rsidRPr="00F86881">
        <w:rPr>
          <w:sz w:val="24"/>
          <w:szCs w:val="24"/>
        </w:rPr>
        <w:t>economistas suelen utilizar té</w:t>
      </w:r>
      <w:r w:rsidRPr="00F86881">
        <w:rPr>
          <w:sz w:val="24"/>
          <w:szCs w:val="24"/>
        </w:rPr>
        <w:t>r</w:t>
      </w:r>
      <w:r w:rsidRPr="00F86881">
        <w:rPr>
          <w:sz w:val="24"/>
          <w:szCs w:val="24"/>
        </w:rPr>
        <w:t xml:space="preserve">minos que hacen difícil la comprensión de sus discursos </w:t>
      </w:r>
      <w:r w:rsidR="008D77EF" w:rsidRPr="00F86881">
        <w:rPr>
          <w:sz w:val="24"/>
          <w:szCs w:val="24"/>
        </w:rPr>
        <w:t>para</w:t>
      </w:r>
      <w:r w:rsidRPr="00F86881">
        <w:rPr>
          <w:sz w:val="24"/>
          <w:szCs w:val="24"/>
        </w:rPr>
        <w:t xml:space="preserve"> la gran mayoría de la gente. </w:t>
      </w:r>
    </w:p>
    <w:p w:rsidR="00937948" w:rsidRPr="00F86881" w:rsidRDefault="00937948" w:rsidP="00317ABB">
      <w:pPr>
        <w:spacing w:after="0"/>
        <w:jc w:val="both"/>
        <w:rPr>
          <w:sz w:val="24"/>
          <w:szCs w:val="24"/>
        </w:rPr>
      </w:pPr>
      <w:r w:rsidRPr="00F86881">
        <w:rPr>
          <w:sz w:val="24"/>
          <w:szCs w:val="24"/>
        </w:rPr>
        <w:tab/>
        <w:t>Sin embargo, es posible utilizar un le</w:t>
      </w:r>
      <w:r w:rsidR="00317ABB" w:rsidRPr="00F86881">
        <w:rPr>
          <w:sz w:val="24"/>
          <w:szCs w:val="24"/>
        </w:rPr>
        <w:t>n</w:t>
      </w:r>
      <w:r w:rsidRPr="00F86881">
        <w:rPr>
          <w:sz w:val="24"/>
          <w:szCs w:val="24"/>
        </w:rPr>
        <w:t>guaje accesible para describir los conceptos esenciales de la economía de un país</w:t>
      </w:r>
      <w:r w:rsidR="00C95F15">
        <w:rPr>
          <w:sz w:val="24"/>
          <w:szCs w:val="24"/>
        </w:rPr>
        <w:t xml:space="preserve">, de manera tal </w:t>
      </w:r>
      <w:r w:rsidR="009E29CD">
        <w:rPr>
          <w:sz w:val="24"/>
          <w:szCs w:val="24"/>
        </w:rPr>
        <w:t>que toda</w:t>
      </w:r>
      <w:r w:rsidRPr="00F86881">
        <w:rPr>
          <w:sz w:val="24"/>
          <w:szCs w:val="24"/>
        </w:rPr>
        <w:t xml:space="preserve">s </w:t>
      </w:r>
      <w:r w:rsidR="009E29CD">
        <w:rPr>
          <w:sz w:val="24"/>
          <w:szCs w:val="24"/>
        </w:rPr>
        <w:t xml:space="preserve">y todos </w:t>
      </w:r>
      <w:r w:rsidRPr="00F86881">
        <w:rPr>
          <w:sz w:val="24"/>
          <w:szCs w:val="24"/>
        </w:rPr>
        <w:t xml:space="preserve">podamos </w:t>
      </w:r>
      <w:r w:rsidR="00317ABB" w:rsidRPr="00F86881">
        <w:rPr>
          <w:sz w:val="24"/>
          <w:szCs w:val="24"/>
        </w:rPr>
        <w:t>entender y opinar sobre el tema.</w:t>
      </w:r>
    </w:p>
    <w:p w:rsidR="00317ABB" w:rsidRPr="00F86881" w:rsidRDefault="00317ABB" w:rsidP="00317ABB">
      <w:pPr>
        <w:spacing w:after="0"/>
        <w:jc w:val="both"/>
        <w:rPr>
          <w:sz w:val="24"/>
          <w:szCs w:val="24"/>
        </w:rPr>
      </w:pPr>
      <w:r w:rsidRPr="00F86881">
        <w:rPr>
          <w:sz w:val="24"/>
          <w:szCs w:val="24"/>
        </w:rPr>
        <w:tab/>
        <w:t>Para comenzar, es necesario hablar del Estado. Para el neoliberalismo, el Estado d</w:t>
      </w:r>
      <w:r w:rsidRPr="00F86881">
        <w:rPr>
          <w:sz w:val="24"/>
          <w:szCs w:val="24"/>
        </w:rPr>
        <w:t>e</w:t>
      </w:r>
      <w:r w:rsidRPr="00F86881">
        <w:rPr>
          <w:sz w:val="24"/>
          <w:szCs w:val="24"/>
        </w:rPr>
        <w:t xml:space="preserve">bería tener un rol mínimo de mantenimiento de la infraestructura del país, sin intervenir en la vida económica en general. Es decir, los ingresos del Estado deberían reducirse a </w:t>
      </w:r>
      <w:r w:rsidR="00C95F15">
        <w:rPr>
          <w:sz w:val="24"/>
          <w:szCs w:val="24"/>
        </w:rPr>
        <w:t xml:space="preserve">sólo </w:t>
      </w:r>
      <w:r w:rsidRPr="00F86881">
        <w:rPr>
          <w:sz w:val="24"/>
          <w:szCs w:val="24"/>
        </w:rPr>
        <w:t>los necesarios para mantener</w:t>
      </w:r>
      <w:r w:rsidR="00C95F15">
        <w:rPr>
          <w:sz w:val="24"/>
          <w:szCs w:val="24"/>
        </w:rPr>
        <w:t xml:space="preserve"> la infraestructura, es decir,</w:t>
      </w:r>
      <w:r w:rsidRPr="00F86881">
        <w:rPr>
          <w:sz w:val="24"/>
          <w:szCs w:val="24"/>
        </w:rPr>
        <w:t xml:space="preserve"> las instituciones, caminos, calles, alumbrado, etc. Para el Estado Justicialista, por el contrario, el rol del Estado es el de aseg</w:t>
      </w:r>
      <w:r w:rsidRPr="00F86881">
        <w:rPr>
          <w:sz w:val="24"/>
          <w:szCs w:val="24"/>
        </w:rPr>
        <w:t>u</w:t>
      </w:r>
      <w:r w:rsidRPr="00F86881">
        <w:rPr>
          <w:sz w:val="24"/>
          <w:szCs w:val="24"/>
        </w:rPr>
        <w:t>rar una justa distribución de la riqueza para todo el pueblo y el acceso a la salud, educación, vivienda y esparcimiento sin restricciones de ningún tipo.</w:t>
      </w:r>
    </w:p>
    <w:p w:rsidR="00317ABB" w:rsidRPr="00F86881" w:rsidRDefault="00317ABB" w:rsidP="00317ABB">
      <w:pPr>
        <w:spacing w:after="0"/>
        <w:jc w:val="both"/>
        <w:rPr>
          <w:sz w:val="24"/>
          <w:szCs w:val="24"/>
        </w:rPr>
      </w:pPr>
      <w:r w:rsidRPr="00F86881">
        <w:rPr>
          <w:sz w:val="24"/>
          <w:szCs w:val="24"/>
        </w:rPr>
        <w:tab/>
        <w:t>La contradicción entre estos dos modelos antagónicos se pone de manifiesto</w:t>
      </w:r>
      <w:r w:rsidR="00DF0918" w:rsidRPr="00F86881">
        <w:rPr>
          <w:sz w:val="24"/>
          <w:szCs w:val="24"/>
        </w:rPr>
        <w:t xml:space="preserve"> en la</w:t>
      </w:r>
      <w:r w:rsidR="00CF2B67" w:rsidRPr="00F86881">
        <w:rPr>
          <w:sz w:val="24"/>
          <w:szCs w:val="24"/>
        </w:rPr>
        <w:t>s diferentes</w:t>
      </w:r>
      <w:r w:rsidR="00DF0918" w:rsidRPr="00F86881">
        <w:rPr>
          <w:sz w:val="24"/>
          <w:szCs w:val="24"/>
        </w:rPr>
        <w:t xml:space="preserve"> política</w:t>
      </w:r>
      <w:r w:rsidR="00CF2B67" w:rsidRPr="00F86881">
        <w:rPr>
          <w:sz w:val="24"/>
          <w:szCs w:val="24"/>
        </w:rPr>
        <w:t>s de I</w:t>
      </w:r>
      <w:r w:rsidR="00DF0918" w:rsidRPr="00F86881">
        <w:rPr>
          <w:sz w:val="24"/>
          <w:szCs w:val="24"/>
        </w:rPr>
        <w:t xml:space="preserve">ngresos </w:t>
      </w:r>
      <w:r w:rsidR="008D77EF" w:rsidRPr="00F86881">
        <w:rPr>
          <w:sz w:val="24"/>
          <w:szCs w:val="24"/>
        </w:rPr>
        <w:t xml:space="preserve">y Egresos </w:t>
      </w:r>
      <w:r w:rsidR="00DF0918" w:rsidRPr="00F86881">
        <w:rPr>
          <w:sz w:val="24"/>
          <w:szCs w:val="24"/>
        </w:rPr>
        <w:t>del Estado que ambos sustentan.</w:t>
      </w:r>
    </w:p>
    <w:p w:rsidR="00DF0918" w:rsidRPr="00F86881" w:rsidRDefault="00DF0918" w:rsidP="00317ABB">
      <w:pPr>
        <w:spacing w:after="0"/>
        <w:jc w:val="both"/>
        <w:rPr>
          <w:sz w:val="24"/>
          <w:szCs w:val="24"/>
        </w:rPr>
      </w:pPr>
      <w:r w:rsidRPr="00F86881">
        <w:rPr>
          <w:sz w:val="24"/>
          <w:szCs w:val="24"/>
        </w:rPr>
        <w:tab/>
        <w:t xml:space="preserve">Se hace necesario ahora exponer un glosario de algunos conceptos generales para evitar confusiones. </w:t>
      </w:r>
    </w:p>
    <w:p w:rsidR="00DF0918" w:rsidRPr="00F86881" w:rsidRDefault="00DF0918" w:rsidP="00317ABB">
      <w:pPr>
        <w:spacing w:after="0"/>
        <w:jc w:val="both"/>
        <w:rPr>
          <w:sz w:val="24"/>
          <w:szCs w:val="24"/>
        </w:rPr>
      </w:pPr>
      <w:r w:rsidRPr="00F86881">
        <w:rPr>
          <w:b/>
          <w:sz w:val="24"/>
          <w:szCs w:val="24"/>
        </w:rPr>
        <w:t xml:space="preserve">Balance fiscal: </w:t>
      </w:r>
      <w:r w:rsidRPr="00F86881">
        <w:rPr>
          <w:sz w:val="24"/>
          <w:szCs w:val="24"/>
        </w:rPr>
        <w:t>diferencia entre Ingresos y Egresos del Estado.</w:t>
      </w:r>
    </w:p>
    <w:p w:rsidR="00DF0918" w:rsidRPr="00F86881" w:rsidRDefault="00DF0918" w:rsidP="00317ABB">
      <w:pPr>
        <w:spacing w:after="0"/>
        <w:jc w:val="both"/>
        <w:rPr>
          <w:sz w:val="24"/>
          <w:szCs w:val="24"/>
        </w:rPr>
      </w:pPr>
      <w:r w:rsidRPr="00F86881">
        <w:rPr>
          <w:b/>
          <w:sz w:val="24"/>
          <w:szCs w:val="24"/>
        </w:rPr>
        <w:t xml:space="preserve">Ingresos: </w:t>
      </w:r>
      <w:r w:rsidRPr="00F86881">
        <w:rPr>
          <w:sz w:val="24"/>
          <w:szCs w:val="24"/>
        </w:rPr>
        <w:t xml:space="preserve">conjunto de </w:t>
      </w:r>
      <w:r w:rsidR="00CF2B67" w:rsidRPr="00F86881">
        <w:rPr>
          <w:sz w:val="24"/>
          <w:szCs w:val="24"/>
        </w:rPr>
        <w:t>impuestos que pagan consumidores y agentes eco</w:t>
      </w:r>
      <w:r w:rsidR="00F86881" w:rsidRPr="00F86881">
        <w:rPr>
          <w:sz w:val="24"/>
          <w:szCs w:val="24"/>
        </w:rPr>
        <w:t>nómicos, más los aportes a la Seguridad Social (jubilaciones y pensiones).</w:t>
      </w:r>
    </w:p>
    <w:p w:rsidR="008D77EF" w:rsidRPr="00F86881" w:rsidRDefault="008D77EF" w:rsidP="00317ABB">
      <w:pPr>
        <w:spacing w:after="0"/>
        <w:jc w:val="both"/>
        <w:rPr>
          <w:sz w:val="24"/>
          <w:szCs w:val="24"/>
        </w:rPr>
      </w:pPr>
      <w:r w:rsidRPr="00F86881">
        <w:rPr>
          <w:b/>
          <w:sz w:val="24"/>
          <w:szCs w:val="24"/>
        </w:rPr>
        <w:t xml:space="preserve">Egresos: </w:t>
      </w:r>
      <w:r w:rsidRPr="00F86881">
        <w:rPr>
          <w:sz w:val="24"/>
          <w:szCs w:val="24"/>
        </w:rPr>
        <w:t>conjunto de gastos e inve</w:t>
      </w:r>
      <w:r w:rsidR="00806478">
        <w:rPr>
          <w:sz w:val="24"/>
          <w:szCs w:val="24"/>
        </w:rPr>
        <w:t>rsiones (para el neoliberalismo</w:t>
      </w:r>
      <w:r w:rsidRPr="00F86881">
        <w:rPr>
          <w:sz w:val="24"/>
          <w:szCs w:val="24"/>
        </w:rPr>
        <w:t xml:space="preserve"> son todos gastos).</w:t>
      </w:r>
    </w:p>
    <w:p w:rsidR="00F86881" w:rsidRPr="00F86881" w:rsidRDefault="00F86881" w:rsidP="00317ABB">
      <w:pPr>
        <w:spacing w:after="0"/>
        <w:jc w:val="both"/>
        <w:rPr>
          <w:sz w:val="24"/>
          <w:szCs w:val="24"/>
        </w:rPr>
      </w:pPr>
      <w:r w:rsidRPr="00F86881">
        <w:rPr>
          <w:b/>
          <w:sz w:val="24"/>
          <w:szCs w:val="24"/>
        </w:rPr>
        <w:t xml:space="preserve">Balance Cuenta Corriente: </w:t>
      </w:r>
      <w:r w:rsidRPr="00F86881">
        <w:rPr>
          <w:sz w:val="24"/>
          <w:szCs w:val="24"/>
        </w:rPr>
        <w:t>diferencia entre lo</w:t>
      </w:r>
      <w:r w:rsidR="009E29CD">
        <w:rPr>
          <w:sz w:val="24"/>
          <w:szCs w:val="24"/>
        </w:rPr>
        <w:t>s ingresos y egresos en dólares:</w:t>
      </w:r>
      <w:r w:rsidRPr="00F86881">
        <w:rPr>
          <w:sz w:val="24"/>
          <w:szCs w:val="24"/>
        </w:rPr>
        <w:t xml:space="preserve"> </w:t>
      </w:r>
      <w:r w:rsidR="009E29CD">
        <w:rPr>
          <w:sz w:val="24"/>
          <w:szCs w:val="24"/>
        </w:rPr>
        <w:t>e</w:t>
      </w:r>
      <w:r w:rsidR="008C275F">
        <w:rPr>
          <w:sz w:val="24"/>
          <w:szCs w:val="24"/>
        </w:rPr>
        <w:t>xportaciones me</w:t>
      </w:r>
      <w:r w:rsidR="009E29CD">
        <w:rPr>
          <w:sz w:val="24"/>
          <w:szCs w:val="24"/>
        </w:rPr>
        <w:t>nos la suma de i</w:t>
      </w:r>
      <w:r w:rsidR="00C95F15">
        <w:rPr>
          <w:sz w:val="24"/>
          <w:szCs w:val="24"/>
        </w:rPr>
        <w:t>mportaciones, ahorro, turismo y</w:t>
      </w:r>
      <w:r w:rsidR="008C275F">
        <w:rPr>
          <w:sz w:val="24"/>
          <w:szCs w:val="24"/>
        </w:rPr>
        <w:t xml:space="preserve"> fuga</w:t>
      </w:r>
      <w:r w:rsidR="009E29CD">
        <w:rPr>
          <w:sz w:val="24"/>
          <w:szCs w:val="24"/>
        </w:rPr>
        <w:t>.</w:t>
      </w:r>
    </w:p>
    <w:p w:rsidR="00317ABB" w:rsidRDefault="00806478" w:rsidP="00317A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En esta primera parte, se describirá l</w:t>
      </w:r>
      <w:r w:rsidR="00F86881" w:rsidRPr="00F86881">
        <w:rPr>
          <w:sz w:val="24"/>
          <w:szCs w:val="24"/>
        </w:rPr>
        <w:t>a composición de los Ingresos, excluyendo a los aportes a la Seguridad social. En la siguiente Tabla se muestran los porcentajes del total de Ingresos por impuestos para ca</w:t>
      </w:r>
      <w:r w:rsidR="007E6E35">
        <w:rPr>
          <w:sz w:val="24"/>
          <w:szCs w:val="24"/>
        </w:rPr>
        <w:t>da uno de los principales ítems (2017).</w:t>
      </w:r>
    </w:p>
    <w:p w:rsidR="00806478" w:rsidRDefault="00806478" w:rsidP="00317ABB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E6E35" w:rsidTr="007E6E35">
        <w:tc>
          <w:tcPr>
            <w:tcW w:w="4322" w:type="dxa"/>
          </w:tcPr>
          <w:p w:rsidR="007E6E35" w:rsidRPr="007E6E35" w:rsidRDefault="007E6E35" w:rsidP="00F86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Impuesto</w:t>
            </w:r>
          </w:p>
        </w:tc>
        <w:tc>
          <w:tcPr>
            <w:tcW w:w="4322" w:type="dxa"/>
          </w:tcPr>
          <w:p w:rsidR="007E6E35" w:rsidRPr="007E6E35" w:rsidRDefault="007E6E35" w:rsidP="00F868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</w:t>
            </w:r>
          </w:p>
        </w:tc>
      </w:tr>
      <w:tr w:rsidR="007E6E35" w:rsidTr="007E6E35"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</w:t>
            </w:r>
          </w:p>
        </w:tc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E6E35" w:rsidTr="007E6E35"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Ganancias Sociedades</w:t>
            </w:r>
          </w:p>
        </w:tc>
        <w:tc>
          <w:tcPr>
            <w:tcW w:w="4322" w:type="dxa"/>
          </w:tcPr>
          <w:p w:rsidR="007E6E35" w:rsidRDefault="00D079B3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079B3" w:rsidTr="007E6E35">
        <w:tc>
          <w:tcPr>
            <w:tcW w:w="4322" w:type="dxa"/>
          </w:tcPr>
          <w:p w:rsidR="00D079B3" w:rsidRDefault="00D079B3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Ganancias personales</w:t>
            </w:r>
          </w:p>
        </w:tc>
        <w:tc>
          <w:tcPr>
            <w:tcW w:w="4322" w:type="dxa"/>
          </w:tcPr>
          <w:p w:rsidR="00D079B3" w:rsidRDefault="00D079B3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E35" w:rsidTr="007E6E35"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exportación e importación</w:t>
            </w:r>
          </w:p>
        </w:tc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E6E35" w:rsidTr="007E6E35"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</w:t>
            </w:r>
          </w:p>
        </w:tc>
        <w:tc>
          <w:tcPr>
            <w:tcW w:w="4322" w:type="dxa"/>
          </w:tcPr>
          <w:p w:rsidR="007E6E35" w:rsidRDefault="007E6E35" w:rsidP="00F8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806478" w:rsidRDefault="00806478" w:rsidP="00D079B3">
      <w:pPr>
        <w:spacing w:after="0" w:line="240" w:lineRule="auto"/>
        <w:jc w:val="both"/>
        <w:rPr>
          <w:sz w:val="24"/>
          <w:szCs w:val="24"/>
        </w:rPr>
      </w:pPr>
    </w:p>
    <w:p w:rsidR="00D079B3" w:rsidRDefault="00D079B3" w:rsidP="00D07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 análisis de estos porcentajes es posible sacar algunas conclusiones:</w:t>
      </w:r>
    </w:p>
    <w:p w:rsidR="00D079B3" w:rsidRPr="00D079B3" w:rsidRDefault="00D079B3" w:rsidP="00D079B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079B3">
        <w:rPr>
          <w:sz w:val="24"/>
          <w:szCs w:val="24"/>
        </w:rPr>
        <w:t>El principal impuesto es el IVA</w:t>
      </w:r>
      <w:r>
        <w:rPr>
          <w:sz w:val="24"/>
          <w:szCs w:val="24"/>
        </w:rPr>
        <w:t>,</w:t>
      </w:r>
      <w:r w:rsidRPr="00D079B3">
        <w:rPr>
          <w:sz w:val="24"/>
          <w:szCs w:val="24"/>
        </w:rPr>
        <w:t xml:space="preserve"> que afecta a todos los consumidores</w:t>
      </w:r>
      <w:r>
        <w:rPr>
          <w:sz w:val="24"/>
          <w:szCs w:val="24"/>
        </w:rPr>
        <w:t xml:space="preserve"> y que, por lo ta</w:t>
      </w:r>
      <w:r>
        <w:rPr>
          <w:sz w:val="24"/>
          <w:szCs w:val="24"/>
        </w:rPr>
        <w:t>n</w:t>
      </w:r>
      <w:r>
        <w:rPr>
          <w:sz w:val="24"/>
          <w:szCs w:val="24"/>
        </w:rPr>
        <w:t>to, es un impuesto claramente regresivo.</w:t>
      </w:r>
    </w:p>
    <w:p w:rsidR="00D079B3" w:rsidRPr="00D079B3" w:rsidRDefault="00D079B3" w:rsidP="00D079B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El porcentaje correspondiente a las ganancias personales (impuesto al salario) no es lo suficientemente significativo como para que no pueda reducirse a costa de la</w:t>
      </w:r>
      <w:r w:rsidR="008C275F">
        <w:rPr>
          <w:sz w:val="24"/>
          <w:szCs w:val="24"/>
        </w:rPr>
        <w:t>s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a</w:t>
      </w:r>
      <w:r w:rsidR="009E29CD">
        <w:rPr>
          <w:sz w:val="24"/>
          <w:szCs w:val="24"/>
        </w:rPr>
        <w:t>nancias de las Sociedades y/o nuevos impuestos.</w:t>
      </w:r>
    </w:p>
    <w:p w:rsidR="00C95F15" w:rsidRPr="00C95F15" w:rsidRDefault="00D079B3" w:rsidP="00C95F15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Los derechos a las exportaciones e importaciones deberían tener </w:t>
      </w:r>
      <w:r w:rsidR="00C95F15">
        <w:rPr>
          <w:sz w:val="24"/>
          <w:szCs w:val="24"/>
        </w:rPr>
        <w:t>un mayor porcent</w:t>
      </w:r>
      <w:r w:rsidR="00C95F15">
        <w:rPr>
          <w:sz w:val="24"/>
          <w:szCs w:val="24"/>
        </w:rPr>
        <w:t>a</w:t>
      </w:r>
      <w:r w:rsidR="00C95F15">
        <w:rPr>
          <w:sz w:val="24"/>
          <w:szCs w:val="24"/>
        </w:rPr>
        <w:t>je.</w:t>
      </w:r>
    </w:p>
    <w:sectPr w:rsidR="00C95F15" w:rsidRPr="00C95F15" w:rsidSect="00C95F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305"/>
    <w:multiLevelType w:val="hybridMultilevel"/>
    <w:tmpl w:val="F89E47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04C1B"/>
    <w:multiLevelType w:val="hybridMultilevel"/>
    <w:tmpl w:val="E28CA2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48"/>
    <w:rsid w:val="000A6F96"/>
    <w:rsid w:val="00317ABB"/>
    <w:rsid w:val="007E6E35"/>
    <w:rsid w:val="00806478"/>
    <w:rsid w:val="008653A6"/>
    <w:rsid w:val="008C275F"/>
    <w:rsid w:val="008D77EF"/>
    <w:rsid w:val="00937948"/>
    <w:rsid w:val="009E29CD"/>
    <w:rsid w:val="00B05AEC"/>
    <w:rsid w:val="00B33D76"/>
    <w:rsid w:val="00C95F15"/>
    <w:rsid w:val="00CF2B67"/>
    <w:rsid w:val="00D079B3"/>
    <w:rsid w:val="00DF0918"/>
    <w:rsid w:val="00F86881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7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2018-12-06T21:42:00Z</cp:lastPrinted>
  <dcterms:created xsi:type="dcterms:W3CDTF">2018-11-22T13:16:00Z</dcterms:created>
  <dcterms:modified xsi:type="dcterms:W3CDTF">2019-12-19T17:35:00Z</dcterms:modified>
</cp:coreProperties>
</file>